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2B837" w14:textId="77777777" w:rsidR="0005789D" w:rsidRDefault="00000000">
      <w:pPr>
        <w:jc w:val="right"/>
        <w:rPr>
          <w:rFonts w:ascii="Dax-Regular" w:eastAsia="Dax-Regular" w:hAnsi="Dax-Regular" w:cs="Dax-Regular"/>
          <w:color w:val="4472C4"/>
          <w:sz w:val="32"/>
          <w:szCs w:val="32"/>
        </w:rPr>
      </w:pPr>
      <w:r>
        <w:rPr>
          <w:rFonts w:ascii="Dax-Regular" w:eastAsia="Dax-Regular" w:hAnsi="Dax-Regular" w:cs="Dax-Regular"/>
          <w:color w:val="4472C4"/>
          <w:sz w:val="32"/>
          <w:szCs w:val="32"/>
        </w:rPr>
        <w:t>Responsable de la bibliothèque municipale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939376" wp14:editId="118CE931">
            <wp:simplePos x="0" y="0"/>
            <wp:positionH relativeFrom="column">
              <wp:posOffset>-102735</wp:posOffset>
            </wp:positionH>
            <wp:positionV relativeFrom="paragraph">
              <wp:posOffset>-559625</wp:posOffset>
            </wp:positionV>
            <wp:extent cx="1428750" cy="1428750"/>
            <wp:effectExtent l="0" t="0" r="0" b="0"/>
            <wp:wrapNone/>
            <wp:docPr id="1" name="image1.png" descr="Une image contenant texte, Police, Graphique, livr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, Police, Graphique, livre&#10;&#10;Description générée automatiquemen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31F6B7" w14:textId="77777777" w:rsidR="0005789D" w:rsidRDefault="00000000">
      <w:pPr>
        <w:jc w:val="right"/>
        <w:rPr>
          <w:rFonts w:ascii="Dax-Regular" w:eastAsia="Dax-Regular" w:hAnsi="Dax-Regular" w:cs="Dax-Regular"/>
          <w:color w:val="4472C4"/>
          <w:sz w:val="32"/>
          <w:szCs w:val="32"/>
        </w:rPr>
      </w:pPr>
      <w:r>
        <w:rPr>
          <w:rFonts w:ascii="Dax-Regular" w:eastAsia="Dax-Regular" w:hAnsi="Dax-Regular" w:cs="Dax-Regular"/>
          <w:color w:val="4472C4"/>
          <w:sz w:val="32"/>
          <w:szCs w:val="32"/>
        </w:rPr>
        <w:t xml:space="preserve"> Emploi permanent disponible au 1</w:t>
      </w:r>
      <w:r>
        <w:rPr>
          <w:rFonts w:ascii="Dax-Regular" w:eastAsia="Dax-Regular" w:hAnsi="Dax-Regular" w:cs="Dax-Regular"/>
          <w:color w:val="4472C4"/>
          <w:sz w:val="32"/>
          <w:szCs w:val="32"/>
          <w:vertAlign w:val="superscript"/>
        </w:rPr>
        <w:t>er</w:t>
      </w:r>
      <w:r>
        <w:rPr>
          <w:rFonts w:ascii="Dax-Regular" w:eastAsia="Dax-Regular" w:hAnsi="Dax-Regular" w:cs="Dax-Regular"/>
          <w:color w:val="4472C4"/>
          <w:sz w:val="32"/>
          <w:szCs w:val="32"/>
        </w:rPr>
        <w:t xml:space="preserve"> mars 2025</w:t>
      </w:r>
    </w:p>
    <w:p w14:paraId="41D29110" w14:textId="77777777" w:rsidR="0005789D" w:rsidRDefault="0005789D">
      <w:pPr>
        <w:jc w:val="right"/>
        <w:rPr>
          <w:rFonts w:ascii="Dax-Regular" w:eastAsia="Dax-Regular" w:hAnsi="Dax-Regular" w:cs="Dax-Regular"/>
          <w:color w:val="4472C4"/>
          <w:sz w:val="32"/>
          <w:szCs w:val="32"/>
        </w:rPr>
      </w:pPr>
    </w:p>
    <w:p w14:paraId="4613F0B3" w14:textId="77777777" w:rsidR="0005789D" w:rsidRDefault="0005789D">
      <w:pPr>
        <w:jc w:val="right"/>
        <w:rPr>
          <w:rFonts w:ascii="Dax-Regular" w:eastAsia="Dax-Regular" w:hAnsi="Dax-Regular" w:cs="Dax-Regular"/>
          <w:color w:val="4472C4"/>
          <w:sz w:val="32"/>
          <w:szCs w:val="32"/>
        </w:rPr>
      </w:pPr>
    </w:p>
    <w:p w14:paraId="0605CD5C" w14:textId="77777777" w:rsidR="0005789D" w:rsidRDefault="0005789D">
      <w:pPr>
        <w:rPr>
          <w:rFonts w:ascii="Dax-Regular" w:eastAsia="Dax-Regular" w:hAnsi="Dax-Regular" w:cs="Dax-Regular"/>
        </w:rPr>
      </w:pPr>
    </w:p>
    <w:p w14:paraId="27A3FD18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b/>
          <w:color w:val="353535"/>
        </w:rPr>
        <w:t>Positionnement </w:t>
      </w:r>
      <w:r>
        <w:rPr>
          <w:rFonts w:ascii="Dax-Regular" w:eastAsia="Dax-Regular" w:hAnsi="Dax-Regular" w:cs="Dax-Regular"/>
          <w:color w:val="353535"/>
        </w:rPr>
        <w:t xml:space="preserve">: Directeur Général des Services </w:t>
      </w:r>
      <w:r>
        <w:rPr>
          <w:rFonts w:ascii="Dax-Regular" w:eastAsia="Dax-Regular" w:hAnsi="Dax-Regular" w:cs="Dax-Regular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353535"/>
        </w:rPr>
        <w:t>→</w:t>
      </w:r>
      <w:r>
        <w:rPr>
          <w:rFonts w:ascii="Dax-Regular" w:eastAsia="Dax-Regular" w:hAnsi="Dax-Regular" w:cs="Dax-Regular"/>
          <w:color w:val="353535"/>
        </w:rPr>
        <w:t xml:space="preserve"> Directeur des Affaires Culturelles </w:t>
      </w:r>
      <w:r>
        <w:rPr>
          <w:rFonts w:ascii="Noto Sans Symbols" w:eastAsia="Noto Sans Symbols" w:hAnsi="Noto Sans Symbols" w:cs="Noto Sans Symbols"/>
          <w:color w:val="353535"/>
        </w:rPr>
        <w:t>🡪</w:t>
      </w:r>
      <w:r>
        <w:rPr>
          <w:rFonts w:ascii="Dax-Regular" w:eastAsia="Dax-Regular" w:hAnsi="Dax-Regular" w:cs="Dax-Regular"/>
          <w:color w:val="353535"/>
        </w:rPr>
        <w:t xml:space="preserve"> </w:t>
      </w:r>
      <w:r>
        <w:rPr>
          <w:rFonts w:ascii="Dax-Regular" w:eastAsia="Dax-Regular" w:hAnsi="Dax-Regular" w:cs="Dax-Regular"/>
          <w:color w:val="000000"/>
        </w:rPr>
        <w:t>Responsable de la Bibliothèque</w:t>
      </w:r>
    </w:p>
    <w:p w14:paraId="59313DCF" w14:textId="77777777" w:rsidR="0005789D" w:rsidRDefault="0005789D">
      <w:pPr>
        <w:shd w:val="clear" w:color="auto" w:fill="FFFFFF"/>
        <w:rPr>
          <w:rFonts w:ascii="Dax-Regular" w:eastAsia="Dax-Regular" w:hAnsi="Dax-Regular" w:cs="Dax-Regular"/>
          <w:color w:val="000000"/>
        </w:rPr>
      </w:pPr>
    </w:p>
    <w:p w14:paraId="511D21F6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b/>
          <w:color w:val="000000"/>
        </w:rPr>
      </w:pPr>
      <w:r>
        <w:rPr>
          <w:rFonts w:ascii="Dax-Regular" w:eastAsia="Dax-Regular" w:hAnsi="Dax-Regular" w:cs="Dax-Regular"/>
          <w:b/>
          <w:color w:val="000000"/>
        </w:rPr>
        <w:t xml:space="preserve">Grade :  </w:t>
      </w:r>
      <w:r>
        <w:rPr>
          <w:rFonts w:ascii="Dax-Regular" w:eastAsia="Dax-Regular" w:hAnsi="Dax-Regular" w:cs="Dax-Regular"/>
          <w:color w:val="000000"/>
        </w:rPr>
        <w:t>Assistant de conservation (cat B) ou Adjoint du patrimoine (Cat C)</w:t>
      </w:r>
    </w:p>
    <w:p w14:paraId="65ACCC8E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color w:val="353535"/>
        </w:rPr>
        <w:br/>
      </w:r>
      <w:r>
        <w:rPr>
          <w:rFonts w:ascii="Dax-Regular" w:eastAsia="Dax-Regular" w:hAnsi="Dax-Regular" w:cs="Dax-Regular"/>
          <w:b/>
          <w:color w:val="353535"/>
        </w:rPr>
        <w:t>Temps de travail :</w:t>
      </w:r>
      <w:r>
        <w:rPr>
          <w:rFonts w:ascii="Dax-Regular" w:eastAsia="Dax-Regular" w:hAnsi="Dax-Regular" w:cs="Dax-Regular"/>
          <w:color w:val="353535"/>
        </w:rPr>
        <w:t xml:space="preserve"> 35h00 du mardi au samedi inclus  </w:t>
      </w:r>
    </w:p>
    <w:p w14:paraId="31305CE5" w14:textId="77777777" w:rsidR="0005789D" w:rsidRDefault="0005789D">
      <w:pPr>
        <w:shd w:val="clear" w:color="auto" w:fill="FFFFFF"/>
        <w:rPr>
          <w:rFonts w:ascii="Dax-Regular" w:eastAsia="Dax-Regular" w:hAnsi="Dax-Regular" w:cs="Dax-Regular"/>
          <w:color w:val="353535"/>
        </w:rPr>
      </w:pPr>
    </w:p>
    <w:p w14:paraId="276899F4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b/>
          <w:color w:val="353535"/>
        </w:rPr>
        <w:t>Horaires de travail</w:t>
      </w:r>
      <w:r>
        <w:rPr>
          <w:rFonts w:ascii="Dax-Regular" w:eastAsia="Dax-Regular" w:hAnsi="Dax-Regular" w:cs="Dax-Regular"/>
          <w:color w:val="353535"/>
        </w:rPr>
        <w:t> : </w:t>
      </w:r>
      <w:r>
        <w:rPr>
          <w:rFonts w:ascii="Dax-Regular" w:eastAsia="Dax-Regular" w:hAnsi="Dax-Regular" w:cs="Dax-Regular"/>
          <w:color w:val="000000"/>
        </w:rPr>
        <w:t xml:space="preserve"> à définir</w:t>
      </w:r>
    </w:p>
    <w:p w14:paraId="72E6FA88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</w:rPr>
      </w:pPr>
      <w:r>
        <w:rPr>
          <w:rFonts w:ascii="Dax-Regular" w:eastAsia="Dax-Regular" w:hAnsi="Dax-Regular" w:cs="Dax-Regular"/>
          <w:b/>
          <w:color w:val="353535"/>
        </w:rPr>
        <w:t xml:space="preserve"> </w:t>
      </w:r>
      <w:r>
        <w:rPr>
          <w:rFonts w:ascii="Dax-Regular" w:eastAsia="Dax-Regular" w:hAnsi="Dax-Regular" w:cs="Dax-Regular"/>
        </w:rPr>
        <w:br/>
      </w:r>
      <w:r>
        <w:rPr>
          <w:rFonts w:ascii="Dax-Regular" w:eastAsia="Dax-Regular" w:hAnsi="Dax-Regular" w:cs="Dax-Regular"/>
          <w:b/>
        </w:rPr>
        <w:t>Poste à pourvoir :</w:t>
      </w:r>
      <w:r>
        <w:rPr>
          <w:rFonts w:ascii="Dax-Regular" w:eastAsia="Dax-Regular" w:hAnsi="Dax-Regular" w:cs="Dax-Regular"/>
        </w:rPr>
        <w:t>  Au 1</w:t>
      </w:r>
      <w:r>
        <w:rPr>
          <w:rFonts w:ascii="Dax-Regular" w:eastAsia="Dax-Regular" w:hAnsi="Dax-Regular" w:cs="Dax-Regular"/>
          <w:vertAlign w:val="superscript"/>
        </w:rPr>
        <w:t>er</w:t>
      </w:r>
      <w:r>
        <w:rPr>
          <w:rFonts w:ascii="Dax-Regular" w:eastAsia="Dax-Regular" w:hAnsi="Dax-Regular" w:cs="Dax-Regular"/>
        </w:rPr>
        <w:t xml:space="preserve"> mars 2025</w:t>
      </w:r>
    </w:p>
    <w:p w14:paraId="22262BE5" w14:textId="77777777" w:rsidR="0005789D" w:rsidRDefault="0005789D">
      <w:pPr>
        <w:shd w:val="clear" w:color="auto" w:fill="FFFFFF"/>
        <w:rPr>
          <w:rFonts w:ascii="Dax-Regular" w:eastAsia="Dax-Regular" w:hAnsi="Dax-Regular" w:cs="Dax-Regular"/>
        </w:rPr>
      </w:pPr>
    </w:p>
    <w:p w14:paraId="2D6EA6AA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</w:rPr>
      </w:pPr>
      <w:r>
        <w:rPr>
          <w:rFonts w:ascii="Dax-Regular" w:eastAsia="Dax-Regular" w:hAnsi="Dax-Regular" w:cs="Dax-Regular"/>
          <w:b/>
        </w:rPr>
        <w:t>Date limite des candidatures</w:t>
      </w:r>
      <w:r>
        <w:rPr>
          <w:rFonts w:ascii="Dax-Regular" w:eastAsia="Dax-Regular" w:hAnsi="Dax-Regular" w:cs="Dax-Regular"/>
        </w:rPr>
        <w:t> : 15 janvier 2025</w:t>
      </w:r>
    </w:p>
    <w:p w14:paraId="08FCA3A0" w14:textId="77777777" w:rsidR="0005789D" w:rsidRDefault="00000000">
      <w:pPr>
        <w:shd w:val="clear" w:color="auto" w:fill="FFFFFF"/>
        <w:spacing w:after="150"/>
        <w:rPr>
          <w:rFonts w:ascii="Dax-Regular" w:eastAsia="Dax-Regular" w:hAnsi="Dax-Regular" w:cs="Dax-Regular"/>
        </w:rPr>
      </w:pPr>
      <w:r>
        <w:rPr>
          <w:rFonts w:ascii="Dax-Regular" w:eastAsia="Dax-Regular" w:hAnsi="Dax-Regular" w:cs="Dax-Regular"/>
        </w:rPr>
        <w:t> </w:t>
      </w:r>
    </w:p>
    <w:p w14:paraId="5F1DD8C3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b/>
          <w:color w:val="353535"/>
        </w:rPr>
        <w:t>Mission principale, raison d’être ou finalité du poste</w:t>
      </w:r>
    </w:p>
    <w:p w14:paraId="17118E0E" w14:textId="77777777" w:rsidR="0005789D" w:rsidRDefault="00000000">
      <w:pPr>
        <w:shd w:val="clear" w:color="auto" w:fill="FFFFFF"/>
        <w:jc w:val="both"/>
        <w:rPr>
          <w:rFonts w:ascii="Dax-Regular" w:eastAsia="Dax-Regular" w:hAnsi="Dax-Regular" w:cs="Dax-Regular"/>
          <w:color w:val="222533"/>
          <w:highlight w:val="white"/>
        </w:rPr>
      </w:pPr>
      <w:r>
        <w:rPr>
          <w:rFonts w:ascii="Dax-Regular" w:eastAsia="Dax-Regular" w:hAnsi="Dax-Regular" w:cs="Dax-Regular"/>
          <w:color w:val="222533"/>
          <w:highlight w:val="white"/>
        </w:rPr>
        <w:t>La ville du Lavandou recherche son responsable de bibliothèque dans le cadre de la création de la future bibliothèque municipale.</w:t>
      </w:r>
    </w:p>
    <w:p w14:paraId="17836111" w14:textId="77777777" w:rsidR="0005789D" w:rsidRDefault="00000000">
      <w:pPr>
        <w:shd w:val="clear" w:color="auto" w:fill="FFFFFF"/>
        <w:jc w:val="both"/>
        <w:rPr>
          <w:rFonts w:ascii="Dax-Regular" w:eastAsia="Dax-Regular" w:hAnsi="Dax-Regular" w:cs="Dax-Regular"/>
          <w:color w:val="222533"/>
          <w:highlight w:val="white"/>
        </w:rPr>
      </w:pPr>
      <w:r>
        <w:rPr>
          <w:rFonts w:ascii="Dax-Regular" w:eastAsia="Dax-Regular" w:hAnsi="Dax-Regular" w:cs="Dax-Regular"/>
          <w:color w:val="222533"/>
          <w:highlight w:val="white"/>
        </w:rPr>
        <w:t>Sous l’autorité du Directeur des Affaires Culturelles, le responsable a la charge de la mise en œuvre, de l’organisation et du suivi du projet de création de la bibliothèque municipale.</w:t>
      </w:r>
    </w:p>
    <w:p w14:paraId="262F8293" w14:textId="77777777" w:rsidR="0005789D" w:rsidRDefault="00000000">
      <w:pPr>
        <w:shd w:val="clear" w:color="auto" w:fill="FFFFFF"/>
        <w:jc w:val="both"/>
        <w:rPr>
          <w:rFonts w:ascii="Dax-Regular" w:eastAsia="Dax-Regular" w:hAnsi="Dax-Regular" w:cs="Dax-Regular"/>
          <w:color w:val="222533"/>
          <w:highlight w:val="white"/>
        </w:rPr>
      </w:pPr>
      <w:r>
        <w:rPr>
          <w:rFonts w:ascii="Dax-Regular" w:eastAsia="Dax-Regular" w:hAnsi="Dax-Regular" w:cs="Dax-Regular"/>
          <w:color w:val="222533"/>
          <w:highlight w:val="white"/>
        </w:rPr>
        <w:t>Après l’ouverture au public, le responsable a la charge du fonctionnement de la structure dans son ensemble (accueil du public, gestion des collections et animation de la structure).</w:t>
      </w:r>
    </w:p>
    <w:p w14:paraId="07B0FA20" w14:textId="77777777" w:rsidR="0005789D" w:rsidRDefault="0005789D">
      <w:pPr>
        <w:shd w:val="clear" w:color="auto" w:fill="FFFFFF"/>
        <w:jc w:val="both"/>
        <w:rPr>
          <w:rFonts w:ascii="Dax-Regular" w:eastAsia="Dax-Regular" w:hAnsi="Dax-Regular" w:cs="Dax-Regular"/>
          <w:color w:val="414042"/>
          <w:highlight w:val="white"/>
        </w:rPr>
      </w:pPr>
    </w:p>
    <w:p w14:paraId="2B78645C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  <w:u w:val="single"/>
        </w:rPr>
      </w:pPr>
      <w:r>
        <w:rPr>
          <w:rFonts w:ascii="Dax-Regular" w:eastAsia="Dax-Regular" w:hAnsi="Dax-Regular" w:cs="Dax-Regular"/>
          <w:b/>
          <w:color w:val="353535"/>
          <w:u w:val="single"/>
        </w:rPr>
        <w:t>Missions et activités du poste</w:t>
      </w:r>
    </w:p>
    <w:p w14:paraId="44AEE2E1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color w:val="000000"/>
        </w:rPr>
        <w:br/>
      </w:r>
      <w:r>
        <w:rPr>
          <w:rFonts w:ascii="Dax-Regular" w:eastAsia="Dax-Regular" w:hAnsi="Dax-Regular" w:cs="Dax-Regular"/>
          <w:b/>
          <w:color w:val="000000"/>
        </w:rPr>
        <w:t>Fonctionnement de la bibliothèque</w:t>
      </w:r>
      <w:r>
        <w:rPr>
          <w:rFonts w:ascii="Dax-Regular" w:eastAsia="Dax-Regular" w:hAnsi="Dax-Regular" w:cs="Dax-Regular"/>
          <w:color w:val="000000"/>
        </w:rPr>
        <w:br/>
        <w:t>* Accueil des publics : prêt/retour, inscriptions, renseignement et conseil, rangement,</w:t>
      </w:r>
      <w:r>
        <w:rPr>
          <w:rFonts w:ascii="Dax-Regular" w:eastAsia="Dax-Regular" w:hAnsi="Dax-Regular" w:cs="Dax-Regular"/>
          <w:color w:val="000000"/>
        </w:rPr>
        <w:br/>
        <w:t>* Gestion des collections (participation à aux acquisitions, catalogage, gestion des stocks)</w:t>
      </w:r>
    </w:p>
    <w:p w14:paraId="0442BA31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color w:val="000000"/>
        </w:rPr>
        <w:t>* Participation à la dynamique générale du service culturel, en étant force de proposition pour l'élaboration d'une offre culturelle commune et cohérente en lien avec la direction et les élus,</w:t>
      </w:r>
      <w:r>
        <w:rPr>
          <w:rFonts w:ascii="Dax-Regular" w:eastAsia="Dax-Regular" w:hAnsi="Dax-Regular" w:cs="Dax-Regular"/>
          <w:color w:val="000000"/>
        </w:rPr>
        <w:br/>
        <w:t>* Animation de la bibliothèque,</w:t>
      </w:r>
      <w:r>
        <w:rPr>
          <w:rFonts w:ascii="Dax-Regular" w:eastAsia="Dax-Regular" w:hAnsi="Dax-Regular" w:cs="Dax-Regular"/>
          <w:color w:val="000000"/>
        </w:rPr>
        <w:br/>
        <w:t>* Médiation auprès de différents publics (accueils de classes, crèches et centres de loisirs, séniors),</w:t>
      </w:r>
    </w:p>
    <w:p w14:paraId="0EEDA539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color w:val="000000"/>
        </w:rPr>
        <w:t>* Associer et fédérer les bénévoles qui souhaitent s’investir dans la structure,</w:t>
      </w:r>
    </w:p>
    <w:p w14:paraId="4DE830C1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color w:val="000000"/>
        </w:rPr>
        <w:t>* Elaboration et mise en place d'animations autour du livre.</w:t>
      </w:r>
    </w:p>
    <w:p w14:paraId="5FA34D07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color w:val="000000"/>
        </w:rPr>
        <w:br/>
      </w:r>
      <w:r>
        <w:rPr>
          <w:rFonts w:ascii="Dax-Regular" w:eastAsia="Dax-Regular" w:hAnsi="Dax-Regular" w:cs="Dax-Regular"/>
          <w:b/>
          <w:color w:val="000000"/>
        </w:rPr>
        <w:t>Communication</w:t>
      </w:r>
      <w:r>
        <w:rPr>
          <w:rFonts w:ascii="Dax-Regular" w:eastAsia="Dax-Regular" w:hAnsi="Dax-Regular" w:cs="Dax-Regular"/>
          <w:color w:val="000000"/>
        </w:rPr>
        <w:br/>
        <w:t>* Participation à l'élaboration (conception et mise en page), à la diffusion et à la mise à jour de supports de communication : programmes, brochures, affiches, newsletters...</w:t>
      </w:r>
      <w:r>
        <w:rPr>
          <w:rFonts w:ascii="Dax-Regular" w:eastAsia="Dax-Regular" w:hAnsi="Dax-Regular" w:cs="Dax-Regular"/>
          <w:color w:val="000000"/>
        </w:rPr>
        <w:br/>
        <w:t>* Participation à l'animation des réseaux sociaux de la bibliothèque.</w:t>
      </w:r>
      <w:r>
        <w:rPr>
          <w:rFonts w:ascii="Dax-Regular" w:eastAsia="Dax-Regular" w:hAnsi="Dax-Regular" w:cs="Dax-Regular"/>
          <w:color w:val="000000"/>
        </w:rPr>
        <w:br/>
      </w:r>
      <w:r>
        <w:rPr>
          <w:rFonts w:ascii="Dax-Regular" w:eastAsia="Dax-Regular" w:hAnsi="Dax-Regular" w:cs="Dax-Regular"/>
          <w:color w:val="000000"/>
        </w:rPr>
        <w:br/>
      </w:r>
      <w:r>
        <w:rPr>
          <w:rFonts w:ascii="Dax-Regular" w:eastAsia="Dax-Regular" w:hAnsi="Dax-Regular" w:cs="Dax-Regular"/>
          <w:b/>
          <w:color w:val="000000"/>
        </w:rPr>
        <w:t>Savoirs :</w:t>
      </w:r>
      <w:r>
        <w:rPr>
          <w:rFonts w:ascii="Dax-Regular" w:eastAsia="Dax-Regular" w:hAnsi="Dax-Regular" w:cs="Dax-Regular"/>
          <w:color w:val="000000"/>
        </w:rPr>
        <w:br/>
        <w:t xml:space="preserve">Intérêt et disponibilité pour l'accueil des usagers et le service public </w:t>
      </w:r>
    </w:p>
    <w:p w14:paraId="16CEFB7C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color w:val="000000"/>
        </w:rPr>
        <w:t>Bonne culture générale et curiosité pour l'actualité culturelle et littéraire,</w:t>
      </w:r>
      <w:r>
        <w:rPr>
          <w:rFonts w:ascii="Dax-Regular" w:eastAsia="Dax-Regular" w:hAnsi="Dax-Regular" w:cs="Dax-Regular"/>
          <w:color w:val="000000"/>
        </w:rPr>
        <w:br/>
        <w:t>Connaissance du circuit du livre, de l'offre éditoriale adulte et jeunesse,</w:t>
      </w:r>
      <w:r>
        <w:rPr>
          <w:rFonts w:ascii="Dax-Regular" w:eastAsia="Dax-Regular" w:hAnsi="Dax-Regular" w:cs="Dax-Regular"/>
          <w:color w:val="000000"/>
        </w:rPr>
        <w:br/>
        <w:t>Conscience du rôle de vecteur social et culturel des bibliothèques,</w:t>
      </w:r>
      <w:r>
        <w:rPr>
          <w:rFonts w:ascii="Dax-Regular" w:eastAsia="Dax-Regular" w:hAnsi="Dax-Regular" w:cs="Dax-Regular"/>
          <w:color w:val="000000"/>
        </w:rPr>
        <w:br/>
        <w:t>Intérêt pour les différents supports culturels et leur valorisation afin de promouvoir la culture,</w:t>
      </w:r>
    </w:p>
    <w:p w14:paraId="1D9273C7" w14:textId="77777777" w:rsidR="0005789D" w:rsidRDefault="00000000">
      <w:pPr>
        <w:shd w:val="clear" w:color="auto" w:fill="FFFFFF"/>
        <w:jc w:val="both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color w:val="000000"/>
        </w:rPr>
        <w:t>Aptitude à travailler en équipe.</w:t>
      </w:r>
    </w:p>
    <w:p w14:paraId="167067D2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000000"/>
        </w:rPr>
      </w:pPr>
      <w:r>
        <w:rPr>
          <w:rFonts w:ascii="Dax-Regular" w:eastAsia="Dax-Regular" w:hAnsi="Dax-Regular" w:cs="Dax-Regular"/>
          <w:b/>
          <w:color w:val="353535"/>
        </w:rPr>
        <w:lastRenderedPageBreak/>
        <w:br/>
        <w:t>Qualités relationnelles/savoir être</w:t>
      </w:r>
      <w:r>
        <w:rPr>
          <w:rFonts w:ascii="Dax-Regular" w:eastAsia="Dax-Regular" w:hAnsi="Dax-Regular" w:cs="Dax-Regular"/>
          <w:b/>
          <w:color w:val="353535"/>
        </w:rPr>
        <w:br/>
      </w:r>
    </w:p>
    <w:p w14:paraId="714BA48D" w14:textId="77777777" w:rsidR="0005789D" w:rsidRDefault="00000000">
      <w:pPr>
        <w:numPr>
          <w:ilvl w:val="0"/>
          <w:numId w:val="1"/>
        </w:numPr>
        <w:shd w:val="clear" w:color="auto" w:fill="FFFFFF"/>
        <w:ind w:left="0" w:firstLine="0"/>
        <w:rPr>
          <w:color w:val="353535"/>
        </w:rPr>
      </w:pPr>
      <w:r>
        <w:rPr>
          <w:rFonts w:ascii="Dax-Regular" w:eastAsia="Dax-Regular" w:hAnsi="Dax-Regular" w:cs="Dax-Regular"/>
          <w:color w:val="353535"/>
        </w:rPr>
        <w:t xml:space="preserve">Rigueur </w:t>
      </w:r>
      <w:r>
        <w:rPr>
          <w:rFonts w:ascii="Dax-Regular" w:eastAsia="Dax-Regular" w:hAnsi="Dax-Regular" w:cs="Dax-Regular"/>
          <w:color w:val="353535"/>
        </w:rPr>
        <w:tab/>
      </w:r>
      <w:r>
        <w:rPr>
          <w:rFonts w:ascii="Dax-Regular" w:eastAsia="Dax-Regular" w:hAnsi="Dax-Regular" w:cs="Dax-Regular"/>
          <w:color w:val="353535"/>
        </w:rPr>
        <w:tab/>
      </w:r>
      <w:r>
        <w:rPr>
          <w:rFonts w:ascii="Dax-Regular" w:eastAsia="Dax-Regular" w:hAnsi="Dax-Regular" w:cs="Dax-Regular"/>
          <w:color w:val="353535"/>
        </w:rPr>
        <w:tab/>
      </w:r>
      <w:r>
        <w:rPr>
          <w:rFonts w:ascii="Dax-Regular" w:eastAsia="Dax-Regular" w:hAnsi="Dax-Regular" w:cs="Dax-Regular"/>
          <w:color w:val="353535"/>
        </w:rPr>
        <w:tab/>
        <w:t>- Technique d’animation</w:t>
      </w:r>
    </w:p>
    <w:p w14:paraId="7DF49713" w14:textId="77777777" w:rsidR="0005789D" w:rsidRDefault="00000000">
      <w:pPr>
        <w:numPr>
          <w:ilvl w:val="0"/>
          <w:numId w:val="1"/>
        </w:numPr>
        <w:shd w:val="clear" w:color="auto" w:fill="FFFFFF"/>
        <w:ind w:left="0" w:firstLine="0"/>
        <w:rPr>
          <w:color w:val="353535"/>
        </w:rPr>
      </w:pPr>
      <w:r>
        <w:rPr>
          <w:rFonts w:ascii="Dax-Regular" w:eastAsia="Dax-Regular" w:hAnsi="Dax-Regular" w:cs="Dax-Regular"/>
          <w:color w:val="353535"/>
        </w:rPr>
        <w:t>Autonomie</w:t>
      </w:r>
    </w:p>
    <w:p w14:paraId="2B54BCA6" w14:textId="77777777" w:rsidR="0005789D" w:rsidRDefault="00000000">
      <w:pPr>
        <w:numPr>
          <w:ilvl w:val="0"/>
          <w:numId w:val="1"/>
        </w:numPr>
        <w:shd w:val="clear" w:color="auto" w:fill="FFFFFF"/>
        <w:ind w:left="0" w:firstLine="0"/>
        <w:rPr>
          <w:color w:val="353535"/>
        </w:rPr>
      </w:pPr>
      <w:r>
        <w:rPr>
          <w:rFonts w:ascii="Dax-Regular" w:eastAsia="Dax-Regular" w:hAnsi="Dax-Regular" w:cs="Dax-Regular"/>
          <w:color w:val="353535"/>
        </w:rPr>
        <w:t>Aptitudes relationnelles</w:t>
      </w:r>
    </w:p>
    <w:p w14:paraId="6CD5F2CF" w14:textId="77777777" w:rsidR="0005789D" w:rsidRDefault="0005789D">
      <w:bookmarkStart w:id="0" w:name="_gjdgxs" w:colFirst="0" w:colLast="0"/>
      <w:bookmarkEnd w:id="0"/>
    </w:p>
    <w:p w14:paraId="66D0EC7A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b/>
          <w:color w:val="353535"/>
        </w:rPr>
        <w:t>Rémunération :</w:t>
      </w:r>
    </w:p>
    <w:p w14:paraId="780CF921" w14:textId="77777777" w:rsidR="0005789D" w:rsidRDefault="0005789D">
      <w:pPr>
        <w:shd w:val="clear" w:color="auto" w:fill="FFFFFF"/>
        <w:rPr>
          <w:rFonts w:ascii="Dax-Regular" w:eastAsia="Dax-Regular" w:hAnsi="Dax-Regular" w:cs="Dax-Regular"/>
        </w:rPr>
      </w:pPr>
    </w:p>
    <w:p w14:paraId="24BE6E03" w14:textId="77777777" w:rsidR="0005789D" w:rsidRDefault="00000000">
      <w:pPr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color w:val="353535"/>
        </w:rPr>
        <w:t>Traitement de base + IFSE + CIA pour les agents titulaires</w:t>
      </w:r>
    </w:p>
    <w:p w14:paraId="388F28B4" w14:textId="77777777" w:rsidR="0005789D" w:rsidRDefault="0005789D">
      <w:pPr>
        <w:rPr>
          <w:rFonts w:ascii="Dax-Regular" w:eastAsia="Dax-Regular" w:hAnsi="Dax-Regular" w:cs="Dax-Regular"/>
          <w:color w:val="353535"/>
        </w:rPr>
      </w:pPr>
    </w:p>
    <w:p w14:paraId="67196365" w14:textId="77777777" w:rsidR="0005789D" w:rsidRDefault="00000000">
      <w:pPr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color w:val="353535"/>
        </w:rPr>
        <w:t>Contractuel : 1700 à 2200 euros nets selon profil</w:t>
      </w:r>
    </w:p>
    <w:p w14:paraId="54070A02" w14:textId="77777777" w:rsidR="0005789D" w:rsidRDefault="0005789D">
      <w:pPr>
        <w:rPr>
          <w:rFonts w:ascii="Dax-Regular" w:eastAsia="Dax-Regular" w:hAnsi="Dax-Regular" w:cs="Dax-Regular"/>
          <w:color w:val="353535"/>
        </w:rPr>
      </w:pPr>
    </w:p>
    <w:p w14:paraId="2D17D348" w14:textId="77777777" w:rsidR="0005789D" w:rsidRDefault="0005789D"/>
    <w:p w14:paraId="061141DC" w14:textId="77777777" w:rsidR="0005789D" w:rsidRDefault="0005789D"/>
    <w:p w14:paraId="5F183A16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b/>
          <w:color w:val="353535"/>
        </w:rPr>
        <w:t>Comment candidater ?</w:t>
      </w:r>
    </w:p>
    <w:p w14:paraId="3F793B6E" w14:textId="77777777" w:rsidR="0005789D" w:rsidRDefault="0005789D">
      <w:pPr>
        <w:shd w:val="clear" w:color="auto" w:fill="FFFFFF"/>
        <w:rPr>
          <w:rFonts w:ascii="Dax-Regular" w:eastAsia="Dax-Regular" w:hAnsi="Dax-Regular" w:cs="Dax-Regular"/>
        </w:rPr>
      </w:pPr>
    </w:p>
    <w:p w14:paraId="28E9B1D8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color w:val="353535"/>
        </w:rPr>
        <w:t>Candidatures à envoyer au service ressources humaines (</w:t>
      </w:r>
      <w:hyperlink r:id="rId6">
        <w:r>
          <w:rPr>
            <w:rFonts w:ascii="Dax-Regular" w:eastAsia="Dax-Regular" w:hAnsi="Dax-Regular" w:cs="Dax-Regular"/>
            <w:color w:val="0000FF"/>
            <w:u w:val="single"/>
          </w:rPr>
          <w:t>grh@le-lavandou.fr</w:t>
        </w:r>
      </w:hyperlink>
      <w:r>
        <w:rPr>
          <w:rFonts w:ascii="Dax-Regular" w:eastAsia="Dax-Regular" w:hAnsi="Dax-Regular" w:cs="Dax-Regular"/>
          <w:color w:val="353535"/>
        </w:rPr>
        <w:t>)</w:t>
      </w:r>
    </w:p>
    <w:p w14:paraId="28587EDE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color w:val="353535"/>
        </w:rPr>
        <w:t>CV</w:t>
      </w:r>
    </w:p>
    <w:p w14:paraId="6607C47E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color w:val="353535"/>
        </w:rPr>
        <w:t>Lettre de motivation</w:t>
      </w:r>
    </w:p>
    <w:p w14:paraId="5309F84E" w14:textId="77777777" w:rsidR="0005789D" w:rsidRDefault="00000000">
      <w:pPr>
        <w:shd w:val="clear" w:color="auto" w:fill="FFFFFF"/>
        <w:rPr>
          <w:rFonts w:ascii="Dax-Regular" w:eastAsia="Dax-Regular" w:hAnsi="Dax-Regular" w:cs="Dax-Regular"/>
          <w:color w:val="353535"/>
        </w:rPr>
      </w:pPr>
      <w:r>
        <w:rPr>
          <w:rFonts w:ascii="Dax-Regular" w:eastAsia="Dax-Regular" w:hAnsi="Dax-Regular" w:cs="Dax-Regular"/>
          <w:color w:val="353535"/>
        </w:rPr>
        <w:t>Arrêté de dernière situation administrative pour les agents titulaires</w:t>
      </w:r>
    </w:p>
    <w:p w14:paraId="40879CB5" w14:textId="77777777" w:rsidR="0005789D" w:rsidRDefault="0005789D"/>
    <w:sectPr w:rsidR="0005789D">
      <w:pgSz w:w="11906" w:h="16838"/>
      <w:pgMar w:top="1417" w:right="1274" w:bottom="56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x-Regula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4693B"/>
    <w:multiLevelType w:val="multilevel"/>
    <w:tmpl w:val="A45CF3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4279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9D"/>
    <w:rsid w:val="0005789D"/>
    <w:rsid w:val="003F5F1D"/>
    <w:rsid w:val="007A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73107F"/>
  <w15:docId w15:val="{934D0537-E8E0-B542-9267-F1D8F3EC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h@le-lavandou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Élodie Victorin</cp:lastModifiedBy>
  <cp:revision>2</cp:revision>
  <dcterms:created xsi:type="dcterms:W3CDTF">2024-11-22T09:51:00Z</dcterms:created>
  <dcterms:modified xsi:type="dcterms:W3CDTF">2024-11-22T09:51:00Z</dcterms:modified>
</cp:coreProperties>
</file>